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704" w:rsidRDefault="00E11704" w:rsidP="00E1170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E11704" w:rsidRPr="00FA7D7A" w:rsidRDefault="00E11704" w:rsidP="00E11704">
      <w:pPr>
        <w:ind w:leftChars="85" w:left="178"/>
      </w:pPr>
      <w:r w:rsidRPr="00FA7D7A">
        <w:t>（会社以外の発行者に係る有価証券報告書の提出を要しないこととなる有価証券の範囲等）</w:t>
      </w:r>
    </w:p>
    <w:p w:rsidR="00E11704" w:rsidRPr="00FA7D7A" w:rsidRDefault="00E11704" w:rsidP="00E11704">
      <w:pPr>
        <w:ind w:left="179" w:hangingChars="85" w:hanging="179"/>
      </w:pPr>
      <w:r w:rsidRPr="00FA7D7A">
        <w:rPr>
          <w:b/>
          <w:bCs/>
        </w:rPr>
        <w:t>第四条の十</w:t>
      </w:r>
      <w:r w:rsidRPr="00FA7D7A">
        <w:t xml:space="preserve">　法第二十四条第一項ただし書（法第二十七条において準用する場合に限る。次項及び次条において同じ。）に規定する政令で定める有価証券は、優先出資証券とする。</w:t>
      </w:r>
    </w:p>
    <w:p w:rsidR="00E11704" w:rsidRPr="00FA7D7A" w:rsidRDefault="00E11704" w:rsidP="00E11704">
      <w:pPr>
        <w:ind w:left="178" w:hangingChars="85" w:hanging="178"/>
      </w:pPr>
      <w:r w:rsidRPr="00FA7D7A">
        <w:t>２　法第二十四条第一項ただし書に規定する政令で定めるところにより計算した数は、三百とする。</w:t>
      </w:r>
    </w:p>
    <w:p w:rsidR="00E11704" w:rsidRPr="00E11704" w:rsidRDefault="00E11704" w:rsidP="00E11704">
      <w:pPr>
        <w:rPr>
          <w:rFonts w:hint="eastAsia"/>
        </w:rPr>
      </w:pPr>
    </w:p>
    <w:p w:rsidR="00E11704" w:rsidRDefault="00E11704" w:rsidP="00E11704">
      <w:pPr>
        <w:rPr>
          <w:rFonts w:hint="eastAsia"/>
        </w:rPr>
      </w:pPr>
    </w:p>
    <w:p w:rsidR="00E11704" w:rsidRDefault="00E11704" w:rsidP="00E1170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E11704" w:rsidRDefault="00E11704" w:rsidP="00E1170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E11704" w:rsidRDefault="00E11704" w:rsidP="00E1170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E11704" w:rsidRDefault="00E11704" w:rsidP="00E1170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E11704" w:rsidRDefault="00E11704" w:rsidP="00E1170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E11704" w:rsidRDefault="00E11704" w:rsidP="00E1170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F17F8" w:rsidRDefault="00F031AD" w:rsidP="007F17F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F17F8" w:rsidRDefault="007F17F8" w:rsidP="007F17F8">
      <w:pPr>
        <w:rPr>
          <w:rFonts w:hint="eastAsia"/>
        </w:rPr>
      </w:pPr>
    </w:p>
    <w:p w:rsidR="007F17F8" w:rsidRDefault="007F17F8" w:rsidP="007F17F8">
      <w:pPr>
        <w:rPr>
          <w:rFonts w:hint="eastAsia"/>
        </w:rPr>
      </w:pPr>
      <w:r>
        <w:rPr>
          <w:rFonts w:hint="eastAsia"/>
        </w:rPr>
        <w:t>（改正後）</w:t>
      </w:r>
    </w:p>
    <w:p w:rsidR="007F17F8" w:rsidRPr="00FA7D7A" w:rsidRDefault="007F17F8" w:rsidP="007F17F8">
      <w:pPr>
        <w:ind w:leftChars="85" w:left="178"/>
      </w:pPr>
      <w:r w:rsidRPr="00FA7D7A">
        <w:t>（会社以外の発行者に係る有価証券報告書の提出を要しないこととなる有価証券の範囲等）</w:t>
      </w:r>
    </w:p>
    <w:p w:rsidR="007F17F8" w:rsidRPr="00FA7D7A" w:rsidRDefault="007F17F8" w:rsidP="007F17F8">
      <w:pPr>
        <w:ind w:left="179" w:hangingChars="85" w:hanging="179"/>
      </w:pPr>
      <w:r w:rsidRPr="00FA7D7A">
        <w:rPr>
          <w:b/>
          <w:bCs/>
        </w:rPr>
        <w:t>第四条の十</w:t>
      </w:r>
      <w:r w:rsidRPr="00FA7D7A">
        <w:t xml:space="preserve">　法第二十四条第一項ただし書（法第二十七条において準用する場合に限る。次項及び次条において同じ。）に規定する政令で定める有価証券は、優先出資証券とする。</w:t>
      </w:r>
    </w:p>
    <w:p w:rsidR="007F17F8" w:rsidRPr="00FA7D7A" w:rsidRDefault="007F17F8" w:rsidP="007F17F8">
      <w:pPr>
        <w:ind w:left="178" w:hangingChars="85" w:hanging="178"/>
      </w:pPr>
      <w:r w:rsidRPr="00FA7D7A">
        <w:t>２　法第二十四条第一項ただし書に規定する政令で定めるところにより計算した数は、三百とする。</w:t>
      </w:r>
    </w:p>
    <w:p w:rsidR="007F17F8" w:rsidRPr="007F17F8" w:rsidRDefault="007F17F8" w:rsidP="007F17F8">
      <w:pPr>
        <w:ind w:left="178" w:hangingChars="85" w:hanging="178"/>
        <w:rPr>
          <w:rFonts w:hint="eastAsia"/>
        </w:rPr>
      </w:pPr>
    </w:p>
    <w:p w:rsidR="007F17F8" w:rsidRDefault="007F17F8" w:rsidP="007F17F8">
      <w:pPr>
        <w:ind w:left="178" w:hangingChars="85" w:hanging="178"/>
        <w:rPr>
          <w:rFonts w:hint="eastAsia"/>
        </w:rPr>
      </w:pPr>
      <w:r>
        <w:rPr>
          <w:rFonts w:hint="eastAsia"/>
        </w:rPr>
        <w:t>（改正前）</w:t>
      </w:r>
    </w:p>
    <w:p w:rsidR="007F17F8" w:rsidRPr="00205E78" w:rsidRDefault="007F17F8" w:rsidP="007F17F8">
      <w:pPr>
        <w:rPr>
          <w:rFonts w:hint="eastAsia"/>
          <w:u w:val="single" w:color="FF0000"/>
        </w:rPr>
      </w:pPr>
      <w:r>
        <w:rPr>
          <w:rFonts w:hint="eastAsia"/>
          <w:u w:val="single" w:color="FF0000"/>
        </w:rPr>
        <w:t>（</w:t>
      </w:r>
      <w:r w:rsidRPr="00205E78">
        <w:rPr>
          <w:rFonts w:hint="eastAsia"/>
          <w:u w:val="single" w:color="FF0000"/>
        </w:rPr>
        <w:t>新設）</w:t>
      </w:r>
    </w:p>
    <w:p w:rsidR="006F7A7D" w:rsidRPr="00F031AD" w:rsidRDefault="006F7A7D">
      <w:pPr>
        <w:rPr>
          <w:rFonts w:hint="eastAsia"/>
        </w:rPr>
      </w:pPr>
    </w:p>
    <w:sectPr w:rsidR="006F7A7D" w:rsidRPr="00F031A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5E8" w:rsidRDefault="007B25E8">
      <w:r>
        <w:separator/>
      </w:r>
    </w:p>
  </w:endnote>
  <w:endnote w:type="continuationSeparator" w:id="0">
    <w:p w:rsidR="007B25E8" w:rsidRDefault="007B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1E" w:rsidRDefault="0017071E" w:rsidP="00F031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7071E" w:rsidRDefault="0017071E" w:rsidP="00F031A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71E" w:rsidRDefault="0017071E" w:rsidP="00F031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7738">
      <w:rPr>
        <w:rStyle w:val="a4"/>
        <w:noProof/>
      </w:rPr>
      <w:t>1</w:t>
    </w:r>
    <w:r>
      <w:rPr>
        <w:rStyle w:val="a4"/>
      </w:rPr>
      <w:fldChar w:fldCharType="end"/>
    </w:r>
  </w:p>
  <w:p w:rsidR="0017071E" w:rsidRDefault="0017071E" w:rsidP="00F031AD">
    <w:pPr>
      <w:pStyle w:val="a3"/>
      <w:ind w:right="360"/>
    </w:pPr>
    <w:r>
      <w:rPr>
        <w:rFonts w:ascii="Times New Roman" w:hAnsi="Times New Roman" w:hint="eastAsia"/>
        <w:kern w:val="0"/>
        <w:szCs w:val="21"/>
      </w:rPr>
      <w:t xml:space="preserve">金融商品取引法施行令　</w:t>
    </w:r>
    <w:r w:rsidRPr="0017071E">
      <w:rPr>
        <w:rFonts w:ascii="Times New Roman" w:hAnsi="Times New Roman"/>
        <w:kern w:val="0"/>
        <w:szCs w:val="21"/>
      </w:rPr>
      <w:fldChar w:fldCharType="begin"/>
    </w:r>
    <w:r w:rsidRPr="0017071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10.doc</w:t>
    </w:r>
    <w:r w:rsidRPr="0017071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5E8" w:rsidRDefault="007B25E8">
      <w:r>
        <w:separator/>
      </w:r>
    </w:p>
  </w:footnote>
  <w:footnote w:type="continuationSeparator" w:id="0">
    <w:p w:rsidR="007B25E8" w:rsidRDefault="007B25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1AD"/>
    <w:rsid w:val="0017071E"/>
    <w:rsid w:val="001B1E15"/>
    <w:rsid w:val="002223AA"/>
    <w:rsid w:val="002C730F"/>
    <w:rsid w:val="006C436E"/>
    <w:rsid w:val="006F7A7D"/>
    <w:rsid w:val="007B25E8"/>
    <w:rsid w:val="007F17F8"/>
    <w:rsid w:val="00AD7738"/>
    <w:rsid w:val="00CA1824"/>
    <w:rsid w:val="00E11704"/>
    <w:rsid w:val="00EA068C"/>
    <w:rsid w:val="00F03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1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031AD"/>
    <w:pPr>
      <w:tabs>
        <w:tab w:val="center" w:pos="4252"/>
        <w:tab w:val="right" w:pos="8504"/>
      </w:tabs>
      <w:snapToGrid w:val="0"/>
    </w:pPr>
  </w:style>
  <w:style w:type="character" w:styleId="a4">
    <w:name w:val="page number"/>
    <w:basedOn w:val="a0"/>
    <w:rsid w:val="00F031AD"/>
  </w:style>
  <w:style w:type="paragraph" w:styleId="a5">
    <w:name w:val="header"/>
    <w:basedOn w:val="a"/>
    <w:rsid w:val="001707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2024-08-07T07:13:00Z</dcterms:created>
  <dcterms:modified xsi:type="dcterms:W3CDTF">2024-08-07T07:13:00Z</dcterms:modified>
</cp:coreProperties>
</file>