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1B0" w:rsidRDefault="008A61B0" w:rsidP="008A61B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A61B0" w:rsidRPr="009F2B34" w:rsidRDefault="008A61B0" w:rsidP="008A61B0">
      <w:pPr>
        <w:ind w:leftChars="85" w:left="178"/>
      </w:pPr>
      <w:r w:rsidRPr="009F2B34">
        <w:t>（会社以外の者による親会社等状況報告書の提出に関する読替え）</w:t>
      </w:r>
    </w:p>
    <w:p w:rsidR="008A61B0" w:rsidRPr="009F2B34" w:rsidRDefault="008A61B0" w:rsidP="008A61B0">
      <w:pPr>
        <w:ind w:left="179" w:hangingChars="85" w:hanging="179"/>
      </w:pPr>
      <w:r w:rsidRPr="008A61B0">
        <w:rPr>
          <w:b/>
          <w:bCs/>
        </w:rPr>
        <w:t>第四条の</w:t>
      </w:r>
      <w:r w:rsidRPr="008A61B0">
        <w:rPr>
          <w:rFonts w:hint="eastAsia"/>
          <w:b/>
          <w:bCs/>
        </w:rPr>
        <w:t>八</w:t>
      </w:r>
      <w:r w:rsidRPr="009F2B34">
        <w:t xml:space="preserve">　法第二十四条の七第一項に規定する親会社等が会社以外の者である場合について、同条第六項において法の規定を準用する場合における同項の規定による技術的読替えは、次の表のとおりとする。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8A61B0" w:rsidTr="00A608A9">
        <w:tblPrEx>
          <w:tblCellMar>
            <w:top w:w="0" w:type="dxa"/>
            <w:bottom w:w="0" w:type="dxa"/>
          </w:tblCellMar>
        </w:tblPrEx>
        <w:trPr>
          <w:trHeight w:val="270"/>
        </w:trPr>
        <w:tc>
          <w:tcPr>
            <w:tcW w:w="2760" w:type="dxa"/>
            <w:vAlign w:val="center"/>
          </w:tcPr>
          <w:p w:rsidR="008A61B0" w:rsidRPr="009F2B34" w:rsidRDefault="008A61B0" w:rsidP="00A608A9">
            <w:r w:rsidRPr="009F2B34">
              <w:t>読み替える法の規定</w:t>
            </w:r>
          </w:p>
        </w:tc>
        <w:tc>
          <w:tcPr>
            <w:tcW w:w="2760" w:type="dxa"/>
            <w:vAlign w:val="center"/>
          </w:tcPr>
          <w:p w:rsidR="008A61B0" w:rsidRPr="009F2B34" w:rsidRDefault="008A61B0" w:rsidP="00A608A9">
            <w:r w:rsidRPr="009F2B34">
              <w:t>読み替えられる字句</w:t>
            </w:r>
          </w:p>
        </w:tc>
        <w:tc>
          <w:tcPr>
            <w:tcW w:w="2760" w:type="dxa"/>
            <w:vAlign w:val="center"/>
          </w:tcPr>
          <w:p w:rsidR="008A61B0" w:rsidRPr="009F2B34" w:rsidRDefault="008A61B0" w:rsidP="00A608A9">
            <w:r w:rsidRPr="009F2B34">
              <w:t>読み替える字句</w:t>
            </w:r>
          </w:p>
        </w:tc>
      </w:tr>
      <w:tr w:rsidR="008A61B0" w:rsidTr="00A608A9">
        <w:tblPrEx>
          <w:tblCellMar>
            <w:top w:w="0" w:type="dxa"/>
            <w:bottom w:w="0" w:type="dxa"/>
          </w:tblCellMar>
        </w:tblPrEx>
        <w:trPr>
          <w:trHeight w:val="270"/>
        </w:trPr>
        <w:tc>
          <w:tcPr>
            <w:tcW w:w="2760" w:type="dxa"/>
            <w:vAlign w:val="center"/>
          </w:tcPr>
          <w:p w:rsidR="008A61B0" w:rsidRPr="009F2B34" w:rsidRDefault="008A61B0" w:rsidP="00A608A9">
            <w:r w:rsidRPr="009F2B34">
              <w:t>法第二十四条の七第一項</w:t>
            </w:r>
          </w:p>
        </w:tc>
        <w:tc>
          <w:tcPr>
            <w:tcW w:w="2760" w:type="dxa"/>
            <w:vAlign w:val="center"/>
          </w:tcPr>
          <w:p w:rsidR="008A61B0" w:rsidRPr="009F2B34" w:rsidRDefault="008A61B0" w:rsidP="00A608A9">
            <w:r w:rsidRPr="009F2B34">
              <w:t>外国会社</w:t>
            </w:r>
          </w:p>
        </w:tc>
        <w:tc>
          <w:tcPr>
            <w:tcW w:w="2760" w:type="dxa"/>
            <w:vAlign w:val="center"/>
          </w:tcPr>
          <w:p w:rsidR="008A61B0" w:rsidRPr="009F2B34" w:rsidRDefault="008A61B0" w:rsidP="00A608A9">
            <w:r w:rsidRPr="009F2B34">
              <w:t>外国の者</w:t>
            </w:r>
          </w:p>
        </w:tc>
      </w:tr>
    </w:tbl>
    <w:p w:rsidR="008A61B0" w:rsidRDefault="008A61B0" w:rsidP="008A61B0">
      <w:pPr>
        <w:rPr>
          <w:rFonts w:hint="eastAsia"/>
        </w:rPr>
      </w:pPr>
    </w:p>
    <w:p w:rsidR="008A61B0" w:rsidRDefault="008A61B0" w:rsidP="008A61B0">
      <w:pPr>
        <w:rPr>
          <w:rFonts w:hint="eastAsia"/>
        </w:rPr>
      </w:pPr>
    </w:p>
    <w:p w:rsidR="008A61B0" w:rsidRDefault="008A61B0" w:rsidP="008A61B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A61B0" w:rsidRDefault="008A61B0" w:rsidP="008A61B0">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A61B0" w:rsidRDefault="008A61B0" w:rsidP="008A61B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A61B0" w:rsidRDefault="008A61B0" w:rsidP="008A61B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A61B0" w:rsidRDefault="008A61B0" w:rsidP="008A61B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A61B0" w:rsidRDefault="008A61B0" w:rsidP="008A61B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584E41" w:rsidRDefault="002401C3" w:rsidP="00584E4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584E41" w:rsidRDefault="00584E41" w:rsidP="00584E41">
      <w:pPr>
        <w:rPr>
          <w:rFonts w:hint="eastAsia"/>
        </w:rPr>
      </w:pPr>
    </w:p>
    <w:p w:rsidR="00584E41" w:rsidRDefault="00584E41" w:rsidP="00584E41">
      <w:pPr>
        <w:rPr>
          <w:rFonts w:hint="eastAsia"/>
        </w:rPr>
      </w:pPr>
      <w:r>
        <w:rPr>
          <w:rFonts w:hint="eastAsia"/>
        </w:rPr>
        <w:t>（改正後）</w:t>
      </w:r>
    </w:p>
    <w:p w:rsidR="00584E41" w:rsidRPr="009F2B34" w:rsidRDefault="00584E41" w:rsidP="00584E41">
      <w:pPr>
        <w:ind w:leftChars="85" w:left="178"/>
      </w:pPr>
      <w:r w:rsidRPr="009F2B34">
        <w:t>（会社以外の者による親会社等状況報告書の提出に関する読替え）</w:t>
      </w:r>
    </w:p>
    <w:p w:rsidR="00584E41" w:rsidRPr="009F2B34" w:rsidRDefault="00584E41" w:rsidP="00584E41">
      <w:pPr>
        <w:ind w:left="179" w:hangingChars="85" w:hanging="179"/>
      </w:pPr>
      <w:r w:rsidRPr="00584E41">
        <w:rPr>
          <w:b/>
          <w:bCs/>
          <w:u w:val="single" w:color="FF0000"/>
        </w:rPr>
        <w:t>第四条の</w:t>
      </w:r>
      <w:r>
        <w:rPr>
          <w:rFonts w:hint="eastAsia"/>
          <w:b/>
          <w:bCs/>
          <w:u w:val="single" w:color="FF0000"/>
        </w:rPr>
        <w:t>八</w:t>
      </w:r>
      <w:r w:rsidRPr="009F2B34">
        <w:t xml:space="preserve">　法第二十四条の七第一項に規定する親会社等が会社以外の者である場合について、同条第六項において法の規定を準用する場合における同項の規定による技術的読替えは、次の表のとおりとする。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584E41" w:rsidTr="003E6209">
        <w:tblPrEx>
          <w:tblCellMar>
            <w:top w:w="0" w:type="dxa"/>
            <w:bottom w:w="0" w:type="dxa"/>
          </w:tblCellMar>
        </w:tblPrEx>
        <w:trPr>
          <w:trHeight w:val="270"/>
        </w:trPr>
        <w:tc>
          <w:tcPr>
            <w:tcW w:w="2760" w:type="dxa"/>
            <w:vAlign w:val="center"/>
          </w:tcPr>
          <w:p w:rsidR="00584E41" w:rsidRPr="009F2B34" w:rsidRDefault="00584E41" w:rsidP="003E6209">
            <w:r w:rsidRPr="009F2B34">
              <w:t>読み替える法の規定</w:t>
            </w:r>
          </w:p>
        </w:tc>
        <w:tc>
          <w:tcPr>
            <w:tcW w:w="2760" w:type="dxa"/>
            <w:vAlign w:val="center"/>
          </w:tcPr>
          <w:p w:rsidR="00584E41" w:rsidRPr="009F2B34" w:rsidRDefault="00584E41" w:rsidP="003E6209">
            <w:r w:rsidRPr="009F2B34">
              <w:t>読み替えられる字句</w:t>
            </w:r>
          </w:p>
        </w:tc>
        <w:tc>
          <w:tcPr>
            <w:tcW w:w="2760" w:type="dxa"/>
            <w:vAlign w:val="center"/>
          </w:tcPr>
          <w:p w:rsidR="00584E41" w:rsidRPr="009F2B34" w:rsidRDefault="00584E41" w:rsidP="003E6209">
            <w:r w:rsidRPr="009F2B34">
              <w:t>読み替える字句</w:t>
            </w:r>
          </w:p>
        </w:tc>
      </w:tr>
      <w:tr w:rsidR="00584E41" w:rsidTr="003E6209">
        <w:tblPrEx>
          <w:tblCellMar>
            <w:top w:w="0" w:type="dxa"/>
            <w:bottom w:w="0" w:type="dxa"/>
          </w:tblCellMar>
        </w:tblPrEx>
        <w:trPr>
          <w:trHeight w:val="270"/>
        </w:trPr>
        <w:tc>
          <w:tcPr>
            <w:tcW w:w="2760" w:type="dxa"/>
            <w:vAlign w:val="center"/>
          </w:tcPr>
          <w:p w:rsidR="00584E41" w:rsidRPr="009F2B34" w:rsidRDefault="00584E41" w:rsidP="003E6209">
            <w:r w:rsidRPr="009F2B34">
              <w:t>法第二十四条の七第一項</w:t>
            </w:r>
          </w:p>
        </w:tc>
        <w:tc>
          <w:tcPr>
            <w:tcW w:w="2760" w:type="dxa"/>
            <w:vAlign w:val="center"/>
          </w:tcPr>
          <w:p w:rsidR="00584E41" w:rsidRPr="009F2B34" w:rsidRDefault="00584E41" w:rsidP="003E6209">
            <w:r w:rsidRPr="009F2B34">
              <w:t>外国会社</w:t>
            </w:r>
          </w:p>
        </w:tc>
        <w:tc>
          <w:tcPr>
            <w:tcW w:w="2760" w:type="dxa"/>
            <w:vAlign w:val="center"/>
          </w:tcPr>
          <w:p w:rsidR="00584E41" w:rsidRPr="009F2B34" w:rsidRDefault="00584E41" w:rsidP="003E6209">
            <w:r w:rsidRPr="009F2B34">
              <w:t>外国の者</w:t>
            </w:r>
          </w:p>
        </w:tc>
      </w:tr>
    </w:tbl>
    <w:p w:rsidR="00584E41" w:rsidRDefault="00584E41" w:rsidP="00584E41">
      <w:pPr>
        <w:ind w:left="178" w:hangingChars="85" w:hanging="178"/>
        <w:rPr>
          <w:rFonts w:hint="eastAsia"/>
        </w:rPr>
      </w:pPr>
    </w:p>
    <w:p w:rsidR="00584E41" w:rsidRDefault="00584E41" w:rsidP="00584E41">
      <w:pPr>
        <w:ind w:left="178" w:hangingChars="85" w:hanging="178"/>
        <w:rPr>
          <w:rFonts w:hint="eastAsia"/>
        </w:rPr>
      </w:pPr>
      <w:r>
        <w:rPr>
          <w:rFonts w:hint="eastAsia"/>
        </w:rPr>
        <w:t>（改正前）</w:t>
      </w:r>
    </w:p>
    <w:p w:rsidR="00584E41" w:rsidRPr="009F2B34" w:rsidRDefault="00584E41" w:rsidP="00584E41">
      <w:pPr>
        <w:ind w:leftChars="85" w:left="178"/>
      </w:pPr>
      <w:r w:rsidRPr="009F2B34">
        <w:t>（会社以外の者による親会社等状況報告書の提出に関する読替え）</w:t>
      </w:r>
    </w:p>
    <w:p w:rsidR="00584E41" w:rsidRPr="009F2B34" w:rsidRDefault="00584E41" w:rsidP="00584E41">
      <w:pPr>
        <w:ind w:left="179" w:hangingChars="85" w:hanging="179"/>
      </w:pPr>
      <w:r w:rsidRPr="00584E41">
        <w:rPr>
          <w:b/>
          <w:bCs/>
          <w:u w:val="single" w:color="FF0000"/>
        </w:rPr>
        <w:t>第四条の十一</w:t>
      </w:r>
      <w:r w:rsidRPr="009F2B34">
        <w:t xml:space="preserve">　法第二十四条の七第一項に規定する親会社等が会社以外の者である場合について、同条第六項において法の規定を準用する場合における同項の規定による技術的読替えは、次の表のとおりとする。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584E41" w:rsidTr="003E6209">
        <w:tblPrEx>
          <w:tblCellMar>
            <w:top w:w="0" w:type="dxa"/>
            <w:bottom w:w="0" w:type="dxa"/>
          </w:tblCellMar>
        </w:tblPrEx>
        <w:trPr>
          <w:trHeight w:val="270"/>
        </w:trPr>
        <w:tc>
          <w:tcPr>
            <w:tcW w:w="2760" w:type="dxa"/>
            <w:vAlign w:val="center"/>
          </w:tcPr>
          <w:p w:rsidR="00584E41" w:rsidRPr="009F2B34" w:rsidRDefault="00584E41" w:rsidP="003E6209">
            <w:r w:rsidRPr="009F2B34">
              <w:t>読み替える法の規定</w:t>
            </w:r>
          </w:p>
        </w:tc>
        <w:tc>
          <w:tcPr>
            <w:tcW w:w="2760" w:type="dxa"/>
            <w:vAlign w:val="center"/>
          </w:tcPr>
          <w:p w:rsidR="00584E41" w:rsidRPr="009F2B34" w:rsidRDefault="00584E41" w:rsidP="003E6209">
            <w:r w:rsidRPr="009F2B34">
              <w:t>読み替えられる字句</w:t>
            </w:r>
          </w:p>
        </w:tc>
        <w:tc>
          <w:tcPr>
            <w:tcW w:w="2760" w:type="dxa"/>
            <w:vAlign w:val="center"/>
          </w:tcPr>
          <w:p w:rsidR="00584E41" w:rsidRPr="009F2B34" w:rsidRDefault="00584E41" w:rsidP="003E6209">
            <w:r w:rsidRPr="009F2B34">
              <w:t>読み替える字句</w:t>
            </w:r>
          </w:p>
        </w:tc>
      </w:tr>
      <w:tr w:rsidR="00584E41" w:rsidTr="003E6209">
        <w:tblPrEx>
          <w:tblCellMar>
            <w:top w:w="0" w:type="dxa"/>
            <w:bottom w:w="0" w:type="dxa"/>
          </w:tblCellMar>
        </w:tblPrEx>
        <w:trPr>
          <w:trHeight w:val="270"/>
        </w:trPr>
        <w:tc>
          <w:tcPr>
            <w:tcW w:w="2760" w:type="dxa"/>
            <w:vAlign w:val="center"/>
          </w:tcPr>
          <w:p w:rsidR="00584E41" w:rsidRPr="009F2B34" w:rsidRDefault="00584E41" w:rsidP="003E6209">
            <w:r w:rsidRPr="009F2B34">
              <w:t>法第二十四条の七第一項</w:t>
            </w:r>
          </w:p>
        </w:tc>
        <w:tc>
          <w:tcPr>
            <w:tcW w:w="2760" w:type="dxa"/>
            <w:vAlign w:val="center"/>
          </w:tcPr>
          <w:p w:rsidR="00584E41" w:rsidRPr="009F2B34" w:rsidRDefault="00584E41" w:rsidP="003E6209">
            <w:r w:rsidRPr="009F2B34">
              <w:t>外国会社</w:t>
            </w:r>
          </w:p>
        </w:tc>
        <w:tc>
          <w:tcPr>
            <w:tcW w:w="2760" w:type="dxa"/>
            <w:vAlign w:val="center"/>
          </w:tcPr>
          <w:p w:rsidR="00584E41" w:rsidRPr="009F2B34" w:rsidRDefault="00584E41" w:rsidP="003E6209">
            <w:r w:rsidRPr="009F2B34">
              <w:t>外国の者</w:t>
            </w:r>
          </w:p>
        </w:tc>
      </w:tr>
    </w:tbl>
    <w:p w:rsidR="00584E41" w:rsidRDefault="00584E41" w:rsidP="00584E41">
      <w:pPr>
        <w:rPr>
          <w:rFonts w:hint="eastAsia"/>
        </w:rPr>
      </w:pPr>
    </w:p>
    <w:p w:rsidR="00584E41" w:rsidRDefault="00584E41" w:rsidP="00584E41">
      <w:pPr>
        <w:rPr>
          <w:rFonts w:hint="eastAsia"/>
        </w:rPr>
      </w:pPr>
    </w:p>
    <w:p w:rsidR="00584E41" w:rsidRDefault="00584E41" w:rsidP="00584E4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584E41" w:rsidRDefault="00584E41" w:rsidP="00584E4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584E41" w:rsidRDefault="00584E41" w:rsidP="00584E41">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584E41" w:rsidRDefault="00584E41" w:rsidP="00584E4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584E41" w:rsidRDefault="00584E41" w:rsidP="00584E4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584E41" w:rsidRDefault="00584E41" w:rsidP="00584E4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584E41" w:rsidRDefault="00584E41" w:rsidP="00584E4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p>
    <w:p w:rsidR="00584E41" w:rsidRDefault="00584E41" w:rsidP="00584E41">
      <w:pPr>
        <w:rPr>
          <w:rFonts w:hint="eastAsia"/>
        </w:rPr>
      </w:pPr>
    </w:p>
    <w:p w:rsidR="00584E41" w:rsidRDefault="00584E41" w:rsidP="00584E41">
      <w:pPr>
        <w:rPr>
          <w:rFonts w:hint="eastAsia"/>
        </w:rPr>
      </w:pPr>
      <w:r>
        <w:rPr>
          <w:rFonts w:hint="eastAsia"/>
        </w:rPr>
        <w:t>（改正後）</w:t>
      </w:r>
    </w:p>
    <w:p w:rsidR="00584E41" w:rsidRPr="009F2B34" w:rsidRDefault="00584E41" w:rsidP="00584E41">
      <w:pPr>
        <w:ind w:leftChars="85" w:left="178"/>
      </w:pPr>
      <w:r w:rsidRPr="009F2B34">
        <w:t>（会社以外の者による親会社等状況報告書の提出に関する読替え）</w:t>
      </w:r>
    </w:p>
    <w:p w:rsidR="00584E41" w:rsidRPr="009F2B34" w:rsidRDefault="00584E41" w:rsidP="00584E41">
      <w:pPr>
        <w:ind w:left="179" w:hangingChars="85" w:hanging="179"/>
      </w:pPr>
      <w:r w:rsidRPr="009F2B34">
        <w:rPr>
          <w:b/>
          <w:bCs/>
        </w:rPr>
        <w:t>第四条の十一</w:t>
      </w:r>
      <w:r w:rsidRPr="009F2B34">
        <w:t xml:space="preserve">　法第二十四条の七第一項に規定する親会社等が会社以外の者である場合について、同条第六項において法の規定を準用する場合における同項の規定による技術的読替えは、次の表のとおりとする。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584E41" w:rsidTr="003E6209">
        <w:tblPrEx>
          <w:tblCellMar>
            <w:top w:w="0" w:type="dxa"/>
            <w:bottom w:w="0" w:type="dxa"/>
          </w:tblCellMar>
        </w:tblPrEx>
        <w:trPr>
          <w:trHeight w:val="270"/>
        </w:trPr>
        <w:tc>
          <w:tcPr>
            <w:tcW w:w="2760" w:type="dxa"/>
            <w:vAlign w:val="center"/>
          </w:tcPr>
          <w:p w:rsidR="00584E41" w:rsidRPr="009F2B34" w:rsidRDefault="00584E41" w:rsidP="003E6209">
            <w:r w:rsidRPr="009F2B34">
              <w:t>読み替える法の規定</w:t>
            </w:r>
          </w:p>
        </w:tc>
        <w:tc>
          <w:tcPr>
            <w:tcW w:w="2760" w:type="dxa"/>
            <w:vAlign w:val="center"/>
          </w:tcPr>
          <w:p w:rsidR="00584E41" w:rsidRPr="009F2B34" w:rsidRDefault="00584E41" w:rsidP="003E6209">
            <w:r w:rsidRPr="009F2B34">
              <w:t>読み替えられる字句</w:t>
            </w:r>
          </w:p>
        </w:tc>
        <w:tc>
          <w:tcPr>
            <w:tcW w:w="2760" w:type="dxa"/>
            <w:vAlign w:val="center"/>
          </w:tcPr>
          <w:p w:rsidR="00584E41" w:rsidRPr="009F2B34" w:rsidRDefault="00584E41" w:rsidP="003E6209">
            <w:r w:rsidRPr="009F2B34">
              <w:t>読み替える字句</w:t>
            </w:r>
          </w:p>
        </w:tc>
      </w:tr>
      <w:tr w:rsidR="00584E41" w:rsidTr="003E6209">
        <w:tblPrEx>
          <w:tblCellMar>
            <w:top w:w="0" w:type="dxa"/>
            <w:bottom w:w="0" w:type="dxa"/>
          </w:tblCellMar>
        </w:tblPrEx>
        <w:trPr>
          <w:trHeight w:val="270"/>
        </w:trPr>
        <w:tc>
          <w:tcPr>
            <w:tcW w:w="2760" w:type="dxa"/>
            <w:vAlign w:val="center"/>
          </w:tcPr>
          <w:p w:rsidR="00584E41" w:rsidRPr="009F2B34" w:rsidRDefault="00584E41" w:rsidP="003E6209">
            <w:r w:rsidRPr="009F2B34">
              <w:t>法第二十四条の七第一項</w:t>
            </w:r>
          </w:p>
        </w:tc>
        <w:tc>
          <w:tcPr>
            <w:tcW w:w="2760" w:type="dxa"/>
            <w:vAlign w:val="center"/>
          </w:tcPr>
          <w:p w:rsidR="00584E41" w:rsidRPr="009F2B34" w:rsidRDefault="00584E41" w:rsidP="003E6209">
            <w:r w:rsidRPr="009F2B34">
              <w:t>外国会社</w:t>
            </w:r>
          </w:p>
        </w:tc>
        <w:tc>
          <w:tcPr>
            <w:tcW w:w="2760" w:type="dxa"/>
            <w:vAlign w:val="center"/>
          </w:tcPr>
          <w:p w:rsidR="00584E41" w:rsidRPr="009F2B34" w:rsidRDefault="00584E41" w:rsidP="003E6209">
            <w:r w:rsidRPr="009F2B34">
              <w:t>外国の者</w:t>
            </w:r>
          </w:p>
        </w:tc>
      </w:tr>
    </w:tbl>
    <w:p w:rsidR="00584E41" w:rsidRDefault="00584E41" w:rsidP="00584E41">
      <w:pPr>
        <w:rPr>
          <w:rFonts w:hint="eastAsia"/>
        </w:rPr>
      </w:pPr>
    </w:p>
    <w:p w:rsidR="00584E41" w:rsidRDefault="00584E41" w:rsidP="00584E41">
      <w:pPr>
        <w:ind w:left="178" w:hangingChars="85" w:hanging="178"/>
        <w:rPr>
          <w:rFonts w:hint="eastAsia"/>
        </w:rPr>
      </w:pPr>
      <w:r>
        <w:rPr>
          <w:rFonts w:hint="eastAsia"/>
        </w:rPr>
        <w:t>（改正前）</w:t>
      </w:r>
    </w:p>
    <w:p w:rsidR="00584E41" w:rsidRPr="00205E78" w:rsidRDefault="00584E41" w:rsidP="00584E41">
      <w:pPr>
        <w:rPr>
          <w:rFonts w:hint="eastAsia"/>
          <w:u w:val="single" w:color="FF0000"/>
        </w:rPr>
      </w:pPr>
      <w:r w:rsidRPr="00205E78">
        <w:rPr>
          <w:rFonts w:hint="eastAsia"/>
          <w:u w:val="single" w:color="FF0000"/>
        </w:rPr>
        <w:t>（新設）</w:t>
      </w:r>
    </w:p>
    <w:p w:rsidR="002401C3" w:rsidRDefault="002401C3" w:rsidP="002401C3">
      <w:pPr>
        <w:rPr>
          <w:rFonts w:hint="eastAsia"/>
        </w:rPr>
      </w:pPr>
    </w:p>
    <w:sectPr w:rsidR="002401C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0C6" w:rsidRDefault="00B060C6">
      <w:r>
        <w:separator/>
      </w:r>
    </w:p>
  </w:endnote>
  <w:endnote w:type="continuationSeparator" w:id="0">
    <w:p w:rsidR="00B060C6" w:rsidRDefault="00B0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B45" w:rsidRDefault="00332B45" w:rsidP="002401C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32B45" w:rsidRDefault="00332B45" w:rsidP="002401C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B45" w:rsidRDefault="00332B45" w:rsidP="002401C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51C5F">
      <w:rPr>
        <w:rStyle w:val="a4"/>
        <w:noProof/>
      </w:rPr>
      <w:t>1</w:t>
    </w:r>
    <w:r>
      <w:rPr>
        <w:rStyle w:val="a4"/>
      </w:rPr>
      <w:fldChar w:fldCharType="end"/>
    </w:r>
  </w:p>
  <w:p w:rsidR="00332B45" w:rsidRDefault="00332B45" w:rsidP="002401C3">
    <w:pPr>
      <w:pStyle w:val="a3"/>
      <w:ind w:right="360"/>
    </w:pPr>
    <w:r>
      <w:rPr>
        <w:rFonts w:ascii="Times New Roman" w:hAnsi="Times New Roman" w:hint="eastAsia"/>
        <w:kern w:val="0"/>
        <w:szCs w:val="21"/>
      </w:rPr>
      <w:t xml:space="preserve">金融商品取引法施行令　</w:t>
    </w:r>
    <w:r w:rsidRPr="00332B45">
      <w:rPr>
        <w:rFonts w:ascii="Times New Roman" w:hAnsi="Times New Roman"/>
        <w:kern w:val="0"/>
        <w:szCs w:val="21"/>
      </w:rPr>
      <w:fldChar w:fldCharType="begin"/>
    </w:r>
    <w:r w:rsidRPr="00332B4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8.doc</w:t>
    </w:r>
    <w:r w:rsidRPr="00332B4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0C6" w:rsidRDefault="00B060C6">
      <w:r>
        <w:separator/>
      </w:r>
    </w:p>
  </w:footnote>
  <w:footnote w:type="continuationSeparator" w:id="0">
    <w:p w:rsidR="00B060C6" w:rsidRDefault="00B060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1C3"/>
    <w:rsid w:val="00002893"/>
    <w:rsid w:val="002401C3"/>
    <w:rsid w:val="002C730F"/>
    <w:rsid w:val="00332B45"/>
    <w:rsid w:val="003E6209"/>
    <w:rsid w:val="00584E41"/>
    <w:rsid w:val="00680B80"/>
    <w:rsid w:val="006F7A7D"/>
    <w:rsid w:val="008A61B0"/>
    <w:rsid w:val="00A608A9"/>
    <w:rsid w:val="00B060C6"/>
    <w:rsid w:val="00F51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1C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401C3"/>
    <w:pPr>
      <w:tabs>
        <w:tab w:val="center" w:pos="4252"/>
        <w:tab w:val="right" w:pos="8504"/>
      </w:tabs>
      <w:snapToGrid w:val="0"/>
    </w:pPr>
  </w:style>
  <w:style w:type="character" w:styleId="a4">
    <w:name w:val="page number"/>
    <w:basedOn w:val="a0"/>
    <w:rsid w:val="002401C3"/>
  </w:style>
  <w:style w:type="paragraph" w:styleId="a5">
    <w:name w:val="header"/>
    <w:basedOn w:val="a"/>
    <w:rsid w:val="00332B4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980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2024-08-07T07:12:00Z</dcterms:created>
  <dcterms:modified xsi:type="dcterms:W3CDTF">2024-08-07T07:12:00Z</dcterms:modified>
</cp:coreProperties>
</file>