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EA6" w:rsidRDefault="00CC3EA6" w:rsidP="00CC3EA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C3EA6" w:rsidRPr="00CC3EA6" w:rsidRDefault="00CC3EA6" w:rsidP="00CC3EA6">
      <w:pPr>
        <w:ind w:leftChars="85" w:left="178"/>
      </w:pPr>
      <w:r w:rsidRPr="0096354A">
        <w:t>（</w:t>
      </w:r>
      <w:r w:rsidRPr="00CC3EA6">
        <w:t>新設合併消滅株式会社金融商品取引所が電子公告により株券の提出に関する公告等をする場合について準用する会社法の規定の読替え）</w:t>
      </w:r>
    </w:p>
    <w:p w:rsidR="00CC3EA6" w:rsidRPr="0096354A" w:rsidRDefault="00CC3EA6" w:rsidP="00CC3EA6">
      <w:pPr>
        <w:ind w:left="179" w:hangingChars="85" w:hanging="179"/>
      </w:pPr>
      <w:r w:rsidRPr="00CC3EA6">
        <w:rPr>
          <w:rFonts w:hint="eastAsia"/>
          <w:b/>
          <w:bCs/>
        </w:rPr>
        <w:t>第十九条の三の十三</w:t>
      </w:r>
      <w:r w:rsidRPr="0096354A">
        <w:t xml:space="preserve">　法第百四十四条第一項において準用する会社法第二百十九条第一項若しくは第二百九十三条第一項又は法第百四十四条第一項において準用する会社法第二百二十条第一項（法第百四十四条第一項において準用する会社法第二百九十三条第四項において準用する場合を含む。）の規定による公告を電子公告によりする場合について、法第百四十四条第二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CC3EA6" w:rsidTr="00F32898">
        <w:tblPrEx>
          <w:tblCellMar>
            <w:top w:w="0" w:type="dxa"/>
            <w:bottom w:w="0" w:type="dxa"/>
          </w:tblCellMar>
        </w:tblPrEx>
        <w:trPr>
          <w:trHeight w:val="120"/>
        </w:trPr>
        <w:tc>
          <w:tcPr>
            <w:tcW w:w="2760" w:type="dxa"/>
          </w:tcPr>
          <w:p w:rsidR="00CC3EA6" w:rsidRPr="0096354A" w:rsidRDefault="00CC3EA6" w:rsidP="00F32898">
            <w:r w:rsidRPr="0096354A">
              <w:t>読み替える会社法の規定</w:t>
            </w:r>
          </w:p>
        </w:tc>
        <w:tc>
          <w:tcPr>
            <w:tcW w:w="2760" w:type="dxa"/>
          </w:tcPr>
          <w:p w:rsidR="00CC3EA6" w:rsidRPr="0096354A" w:rsidRDefault="00CC3EA6" w:rsidP="00F32898">
            <w:pPr>
              <w:rPr>
                <w:rFonts w:hint="eastAsia"/>
              </w:rPr>
            </w:pPr>
            <w:r w:rsidRPr="0096354A">
              <w:t>読み替えられる字句</w:t>
            </w:r>
          </w:p>
        </w:tc>
        <w:tc>
          <w:tcPr>
            <w:tcW w:w="2760" w:type="dxa"/>
          </w:tcPr>
          <w:p w:rsidR="00CC3EA6" w:rsidRPr="0096354A" w:rsidRDefault="00CC3EA6" w:rsidP="00F32898">
            <w:pPr>
              <w:rPr>
                <w:rFonts w:hint="eastAsia"/>
              </w:rPr>
            </w:pPr>
            <w:r w:rsidRPr="0096354A">
              <w:t>読み替える字句</w:t>
            </w:r>
          </w:p>
        </w:tc>
      </w:tr>
      <w:tr w:rsidR="00CC3EA6" w:rsidTr="00F32898">
        <w:tblPrEx>
          <w:tblCellMar>
            <w:top w:w="0" w:type="dxa"/>
            <w:bottom w:w="0" w:type="dxa"/>
          </w:tblCellMar>
        </w:tblPrEx>
        <w:trPr>
          <w:trHeight w:val="120"/>
        </w:trPr>
        <w:tc>
          <w:tcPr>
            <w:tcW w:w="2760" w:type="dxa"/>
            <w:vMerge w:val="restart"/>
          </w:tcPr>
          <w:p w:rsidR="00CC3EA6" w:rsidRPr="0096354A" w:rsidRDefault="00CC3EA6" w:rsidP="00F32898">
            <w:r w:rsidRPr="0096354A">
              <w:t>第九百四十条第三項（各号を除く。）</w:t>
            </w:r>
          </w:p>
        </w:tc>
        <w:tc>
          <w:tcPr>
            <w:tcW w:w="2760" w:type="dxa"/>
          </w:tcPr>
          <w:p w:rsidR="00CC3EA6" w:rsidRPr="0096354A" w:rsidRDefault="00CC3EA6" w:rsidP="00F32898">
            <w:r w:rsidRPr="0096354A">
              <w:t>前二項</w:t>
            </w:r>
          </w:p>
        </w:tc>
        <w:tc>
          <w:tcPr>
            <w:tcW w:w="2760" w:type="dxa"/>
          </w:tcPr>
          <w:p w:rsidR="00CC3EA6" w:rsidRPr="0096354A" w:rsidRDefault="00CC3EA6" w:rsidP="00F32898">
            <w:r w:rsidRPr="0096354A">
              <w:t>第一項</w:t>
            </w:r>
          </w:p>
        </w:tc>
      </w:tr>
      <w:tr w:rsidR="00CC3EA6" w:rsidTr="00F32898">
        <w:tblPrEx>
          <w:tblCellMar>
            <w:top w:w="0" w:type="dxa"/>
            <w:bottom w:w="0" w:type="dxa"/>
          </w:tblCellMar>
        </w:tblPrEx>
        <w:trPr>
          <w:trHeight w:val="120"/>
        </w:trPr>
        <w:tc>
          <w:tcPr>
            <w:tcW w:w="2760" w:type="dxa"/>
            <w:vMerge/>
          </w:tcPr>
          <w:p w:rsidR="00CC3EA6" w:rsidRPr="0096354A" w:rsidRDefault="00CC3EA6" w:rsidP="00F32898"/>
        </w:tc>
        <w:tc>
          <w:tcPr>
            <w:tcW w:w="2760" w:type="dxa"/>
          </w:tcPr>
          <w:p w:rsidR="00CC3EA6" w:rsidRPr="0096354A" w:rsidRDefault="00CC3EA6" w:rsidP="00F32898">
            <w:r w:rsidRPr="0096354A">
              <w:t>これらの</w:t>
            </w:r>
          </w:p>
        </w:tc>
        <w:tc>
          <w:tcPr>
            <w:tcW w:w="2760" w:type="dxa"/>
          </w:tcPr>
          <w:p w:rsidR="00CC3EA6" w:rsidRPr="0096354A" w:rsidRDefault="00CC3EA6" w:rsidP="00F32898">
            <w:r w:rsidRPr="0096354A">
              <w:t>同項の</w:t>
            </w:r>
          </w:p>
        </w:tc>
      </w:tr>
    </w:tbl>
    <w:p w:rsidR="00CC3EA6" w:rsidRDefault="00CC3EA6" w:rsidP="00CC3EA6">
      <w:pPr>
        <w:rPr>
          <w:rFonts w:hint="eastAsia"/>
        </w:rPr>
      </w:pPr>
    </w:p>
    <w:p w:rsidR="00CC3EA6" w:rsidRDefault="00CC3EA6" w:rsidP="00CC3EA6">
      <w:pPr>
        <w:rPr>
          <w:rFonts w:hint="eastAsia"/>
        </w:rPr>
      </w:pPr>
    </w:p>
    <w:p w:rsidR="00CC3EA6" w:rsidRDefault="00CC3EA6" w:rsidP="00CC3EA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CC3EA6" w:rsidRDefault="00CC3EA6" w:rsidP="00CC3EA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C3EA6" w:rsidRDefault="00CC3EA6" w:rsidP="00CC3EA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C3EA6" w:rsidRDefault="00CC3EA6" w:rsidP="00CC3EA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C3EA6" w:rsidRDefault="00CC3EA6" w:rsidP="00CC3EA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C3EA6" w:rsidRDefault="00CC3EA6" w:rsidP="00CC3EA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AE6441" w:rsidRDefault="0076578F" w:rsidP="00AE644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AE6441" w:rsidRDefault="00AE6441" w:rsidP="00AE6441">
      <w:pPr>
        <w:rPr>
          <w:rFonts w:hint="eastAsia"/>
        </w:rPr>
      </w:pPr>
    </w:p>
    <w:p w:rsidR="00AE6441" w:rsidRDefault="00AE6441" w:rsidP="00AE6441">
      <w:pPr>
        <w:rPr>
          <w:rFonts w:hint="eastAsia"/>
        </w:rPr>
      </w:pPr>
      <w:r>
        <w:rPr>
          <w:rFonts w:hint="eastAsia"/>
        </w:rPr>
        <w:t>（改正後）</w:t>
      </w:r>
    </w:p>
    <w:p w:rsidR="00AE6441" w:rsidRPr="0096354A" w:rsidRDefault="00AE6441" w:rsidP="00AE6441">
      <w:pPr>
        <w:ind w:leftChars="85" w:left="178"/>
      </w:pPr>
      <w:r w:rsidRPr="0096354A">
        <w:t>（</w:t>
      </w:r>
      <w:r w:rsidRPr="00AE6441">
        <w:rPr>
          <w:u w:val="single" w:color="FF0000"/>
        </w:rPr>
        <w:t>新設合併消滅株式会社金融商品取引所</w:t>
      </w:r>
      <w:r w:rsidRPr="0096354A">
        <w:t>が電子公告により株券の提出に関する公告等をする場合について準用する会社法の規定の読替え）</w:t>
      </w:r>
    </w:p>
    <w:p w:rsidR="00AE6441" w:rsidRPr="0096354A" w:rsidRDefault="00AE6441" w:rsidP="00AE6441">
      <w:pPr>
        <w:ind w:left="179" w:hangingChars="85" w:hanging="179"/>
      </w:pPr>
      <w:r w:rsidRPr="00AE6441">
        <w:rPr>
          <w:rFonts w:hint="eastAsia"/>
          <w:b/>
          <w:bCs/>
          <w:u w:val="single" w:color="FF0000"/>
        </w:rPr>
        <w:t>第十九条の三の十三</w:t>
      </w:r>
      <w:r w:rsidRPr="0096354A">
        <w:t xml:space="preserve">　法第百四十四条第一項において準用する会社法第二百十九条第一項若しくは第二百九十三条第一項又は法第百四十四条第一項において準用する会社法第二百二十条第一項（法第百四十四条第一項において準用する会社法第二百九十三条第四項において準用する場合を含む。）の規定による公告を電子公告によりする場合について、法第百四十四条第二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AE6441" w:rsidTr="00120307">
        <w:tblPrEx>
          <w:tblCellMar>
            <w:top w:w="0" w:type="dxa"/>
            <w:bottom w:w="0" w:type="dxa"/>
          </w:tblCellMar>
        </w:tblPrEx>
        <w:trPr>
          <w:trHeight w:val="120"/>
        </w:trPr>
        <w:tc>
          <w:tcPr>
            <w:tcW w:w="2760" w:type="dxa"/>
          </w:tcPr>
          <w:p w:rsidR="00AE6441" w:rsidRPr="0096354A" w:rsidRDefault="00AE6441" w:rsidP="00120307">
            <w:r w:rsidRPr="0096354A">
              <w:t>読み替える会社法の規定</w:t>
            </w:r>
          </w:p>
        </w:tc>
        <w:tc>
          <w:tcPr>
            <w:tcW w:w="2760" w:type="dxa"/>
          </w:tcPr>
          <w:p w:rsidR="00AE6441" w:rsidRPr="0096354A" w:rsidRDefault="00AE6441" w:rsidP="00120307">
            <w:pPr>
              <w:rPr>
                <w:rFonts w:hint="eastAsia"/>
              </w:rPr>
            </w:pPr>
            <w:r w:rsidRPr="0096354A">
              <w:t>読み替えられる字句</w:t>
            </w:r>
          </w:p>
        </w:tc>
        <w:tc>
          <w:tcPr>
            <w:tcW w:w="2760" w:type="dxa"/>
          </w:tcPr>
          <w:p w:rsidR="00AE6441" w:rsidRPr="0096354A" w:rsidRDefault="00AE6441" w:rsidP="00120307">
            <w:pPr>
              <w:rPr>
                <w:rFonts w:hint="eastAsia"/>
              </w:rPr>
            </w:pPr>
            <w:r w:rsidRPr="0096354A">
              <w:t>読み替える字句</w:t>
            </w:r>
          </w:p>
        </w:tc>
      </w:tr>
      <w:tr w:rsidR="00AE6441" w:rsidTr="00120307">
        <w:tblPrEx>
          <w:tblCellMar>
            <w:top w:w="0" w:type="dxa"/>
            <w:bottom w:w="0" w:type="dxa"/>
          </w:tblCellMar>
        </w:tblPrEx>
        <w:trPr>
          <w:trHeight w:val="120"/>
        </w:trPr>
        <w:tc>
          <w:tcPr>
            <w:tcW w:w="2760" w:type="dxa"/>
            <w:vMerge w:val="restart"/>
          </w:tcPr>
          <w:p w:rsidR="00AE6441" w:rsidRPr="0096354A" w:rsidRDefault="00AE6441" w:rsidP="00120307">
            <w:r w:rsidRPr="0096354A">
              <w:t>第九百四十条第三項（各号を除く。）</w:t>
            </w:r>
          </w:p>
        </w:tc>
        <w:tc>
          <w:tcPr>
            <w:tcW w:w="2760" w:type="dxa"/>
          </w:tcPr>
          <w:p w:rsidR="00AE6441" w:rsidRPr="0096354A" w:rsidRDefault="00AE6441" w:rsidP="00120307">
            <w:r w:rsidRPr="0096354A">
              <w:t>前二項</w:t>
            </w:r>
          </w:p>
        </w:tc>
        <w:tc>
          <w:tcPr>
            <w:tcW w:w="2760" w:type="dxa"/>
          </w:tcPr>
          <w:p w:rsidR="00AE6441" w:rsidRPr="0096354A" w:rsidRDefault="00AE6441" w:rsidP="00120307">
            <w:r w:rsidRPr="0096354A">
              <w:t>第一項</w:t>
            </w:r>
          </w:p>
        </w:tc>
      </w:tr>
      <w:tr w:rsidR="00AE6441" w:rsidTr="00120307">
        <w:tblPrEx>
          <w:tblCellMar>
            <w:top w:w="0" w:type="dxa"/>
            <w:bottom w:w="0" w:type="dxa"/>
          </w:tblCellMar>
        </w:tblPrEx>
        <w:trPr>
          <w:trHeight w:val="120"/>
        </w:trPr>
        <w:tc>
          <w:tcPr>
            <w:tcW w:w="2760" w:type="dxa"/>
            <w:vMerge/>
          </w:tcPr>
          <w:p w:rsidR="00AE6441" w:rsidRPr="0096354A" w:rsidRDefault="00AE6441" w:rsidP="00120307"/>
        </w:tc>
        <w:tc>
          <w:tcPr>
            <w:tcW w:w="2760" w:type="dxa"/>
          </w:tcPr>
          <w:p w:rsidR="00AE6441" w:rsidRPr="0096354A" w:rsidRDefault="00AE6441" w:rsidP="00120307">
            <w:r w:rsidRPr="0096354A">
              <w:t>これらの</w:t>
            </w:r>
          </w:p>
        </w:tc>
        <w:tc>
          <w:tcPr>
            <w:tcW w:w="2760" w:type="dxa"/>
          </w:tcPr>
          <w:p w:rsidR="00AE6441" w:rsidRPr="0096354A" w:rsidRDefault="00AE6441" w:rsidP="00120307">
            <w:r w:rsidRPr="0096354A">
              <w:t>同項の</w:t>
            </w:r>
          </w:p>
        </w:tc>
      </w:tr>
    </w:tbl>
    <w:p w:rsidR="00AE6441" w:rsidRDefault="00AE6441" w:rsidP="00AE6441">
      <w:pPr>
        <w:ind w:left="178" w:hangingChars="85" w:hanging="178"/>
        <w:rPr>
          <w:rFonts w:hint="eastAsia"/>
        </w:rPr>
      </w:pPr>
    </w:p>
    <w:p w:rsidR="00AE6441" w:rsidRDefault="00AE6441" w:rsidP="00AE6441">
      <w:pPr>
        <w:ind w:left="178" w:hangingChars="85" w:hanging="178"/>
        <w:rPr>
          <w:rFonts w:hint="eastAsia"/>
        </w:rPr>
      </w:pPr>
      <w:r>
        <w:rPr>
          <w:rFonts w:hint="eastAsia"/>
        </w:rPr>
        <w:t>（改正前）</w:t>
      </w:r>
    </w:p>
    <w:p w:rsidR="00AE6441" w:rsidRPr="0096354A" w:rsidRDefault="00AE6441" w:rsidP="00AE6441">
      <w:pPr>
        <w:ind w:leftChars="85" w:left="178"/>
      </w:pPr>
      <w:r w:rsidRPr="0096354A">
        <w:lastRenderedPageBreak/>
        <w:t>（</w:t>
      </w:r>
      <w:r w:rsidRPr="00AE6441">
        <w:rPr>
          <w:u w:val="single" w:color="FF0000"/>
        </w:rPr>
        <w:t>新設合併消滅株式会社証券取引所</w:t>
      </w:r>
      <w:r w:rsidRPr="0096354A">
        <w:t>が電子公告により株券の提出に関する公告等をする場合について準用する会社法の規定の読替え）</w:t>
      </w:r>
    </w:p>
    <w:p w:rsidR="00AE6441" w:rsidRPr="0096354A" w:rsidRDefault="00AE6441" w:rsidP="00AE6441">
      <w:pPr>
        <w:ind w:left="179" w:hangingChars="85" w:hanging="179"/>
      </w:pPr>
      <w:r w:rsidRPr="00AE6441">
        <w:rPr>
          <w:b/>
          <w:bCs/>
          <w:u w:val="single" w:color="FF0000"/>
        </w:rPr>
        <w:t>第十九条の三の九</w:t>
      </w:r>
      <w:r w:rsidRPr="0096354A">
        <w:t xml:space="preserve">　法第百四十四条第一項において準用する会社法第二百十九条第一項若しくは第二百九十三条第一項又は法第百四十四条第一項において準用する会社法第二百二十条第一項（法第百四十四条第一項において準用する会社法第二百九十三条第四項において準用する場合を含む。）の規定による公告を電子公告によりする場合について、法第百四十四条第二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AE6441" w:rsidTr="00120307">
        <w:tblPrEx>
          <w:tblCellMar>
            <w:top w:w="0" w:type="dxa"/>
            <w:bottom w:w="0" w:type="dxa"/>
          </w:tblCellMar>
        </w:tblPrEx>
        <w:trPr>
          <w:trHeight w:val="120"/>
        </w:trPr>
        <w:tc>
          <w:tcPr>
            <w:tcW w:w="2760" w:type="dxa"/>
          </w:tcPr>
          <w:p w:rsidR="00AE6441" w:rsidRPr="0096354A" w:rsidRDefault="00AE6441" w:rsidP="00120307">
            <w:r w:rsidRPr="0096354A">
              <w:t>読み替える会社法の規定</w:t>
            </w:r>
          </w:p>
        </w:tc>
        <w:tc>
          <w:tcPr>
            <w:tcW w:w="2760" w:type="dxa"/>
          </w:tcPr>
          <w:p w:rsidR="00AE6441" w:rsidRPr="0096354A" w:rsidRDefault="00AE6441" w:rsidP="00120307">
            <w:pPr>
              <w:rPr>
                <w:rFonts w:hint="eastAsia"/>
              </w:rPr>
            </w:pPr>
            <w:r w:rsidRPr="0096354A">
              <w:t>読み替えられる字句</w:t>
            </w:r>
          </w:p>
        </w:tc>
        <w:tc>
          <w:tcPr>
            <w:tcW w:w="2760" w:type="dxa"/>
          </w:tcPr>
          <w:p w:rsidR="00AE6441" w:rsidRPr="0096354A" w:rsidRDefault="00AE6441" w:rsidP="00120307">
            <w:pPr>
              <w:rPr>
                <w:rFonts w:hint="eastAsia"/>
              </w:rPr>
            </w:pPr>
            <w:r w:rsidRPr="0096354A">
              <w:t>読み替える字句</w:t>
            </w:r>
          </w:p>
        </w:tc>
      </w:tr>
      <w:tr w:rsidR="00AE6441" w:rsidTr="00120307">
        <w:tblPrEx>
          <w:tblCellMar>
            <w:top w:w="0" w:type="dxa"/>
            <w:bottom w:w="0" w:type="dxa"/>
          </w:tblCellMar>
        </w:tblPrEx>
        <w:trPr>
          <w:trHeight w:val="120"/>
        </w:trPr>
        <w:tc>
          <w:tcPr>
            <w:tcW w:w="2760" w:type="dxa"/>
            <w:vMerge w:val="restart"/>
          </w:tcPr>
          <w:p w:rsidR="00AE6441" w:rsidRPr="0096354A" w:rsidRDefault="00AE6441" w:rsidP="00120307">
            <w:r w:rsidRPr="0096354A">
              <w:t>第九百四十条第三項（各号を除く。）</w:t>
            </w:r>
          </w:p>
        </w:tc>
        <w:tc>
          <w:tcPr>
            <w:tcW w:w="2760" w:type="dxa"/>
          </w:tcPr>
          <w:p w:rsidR="00AE6441" w:rsidRPr="0096354A" w:rsidRDefault="00AE6441" w:rsidP="00120307">
            <w:r w:rsidRPr="0096354A">
              <w:t>前二項</w:t>
            </w:r>
          </w:p>
        </w:tc>
        <w:tc>
          <w:tcPr>
            <w:tcW w:w="2760" w:type="dxa"/>
          </w:tcPr>
          <w:p w:rsidR="00AE6441" w:rsidRPr="0096354A" w:rsidRDefault="00AE6441" w:rsidP="00120307">
            <w:r w:rsidRPr="0096354A">
              <w:t>第一項</w:t>
            </w:r>
          </w:p>
        </w:tc>
      </w:tr>
      <w:tr w:rsidR="00AE6441" w:rsidTr="00120307">
        <w:tblPrEx>
          <w:tblCellMar>
            <w:top w:w="0" w:type="dxa"/>
            <w:bottom w:w="0" w:type="dxa"/>
          </w:tblCellMar>
        </w:tblPrEx>
        <w:trPr>
          <w:trHeight w:val="120"/>
        </w:trPr>
        <w:tc>
          <w:tcPr>
            <w:tcW w:w="2760" w:type="dxa"/>
            <w:vMerge/>
          </w:tcPr>
          <w:p w:rsidR="00AE6441" w:rsidRPr="0096354A" w:rsidRDefault="00AE6441" w:rsidP="00120307"/>
        </w:tc>
        <w:tc>
          <w:tcPr>
            <w:tcW w:w="2760" w:type="dxa"/>
          </w:tcPr>
          <w:p w:rsidR="00AE6441" w:rsidRPr="0096354A" w:rsidRDefault="00AE6441" w:rsidP="00120307">
            <w:r w:rsidRPr="0096354A">
              <w:t>これらの</w:t>
            </w:r>
          </w:p>
        </w:tc>
        <w:tc>
          <w:tcPr>
            <w:tcW w:w="2760" w:type="dxa"/>
          </w:tcPr>
          <w:p w:rsidR="00AE6441" w:rsidRPr="0096354A" w:rsidRDefault="00AE6441" w:rsidP="00120307">
            <w:r w:rsidRPr="0096354A">
              <w:t>同項の</w:t>
            </w:r>
          </w:p>
        </w:tc>
      </w:tr>
    </w:tbl>
    <w:p w:rsidR="00AE6441" w:rsidRDefault="00AE6441" w:rsidP="00AE6441">
      <w:pPr>
        <w:rPr>
          <w:rFonts w:hint="eastAsia"/>
        </w:rPr>
      </w:pPr>
    </w:p>
    <w:p w:rsidR="0076578F" w:rsidRDefault="0076578F" w:rsidP="0076578F">
      <w:pPr>
        <w:rPr>
          <w:rFonts w:hint="eastAsia"/>
        </w:rPr>
      </w:pPr>
    </w:p>
    <w:p w:rsidR="0076578F" w:rsidRDefault="0076578F" w:rsidP="0076578F">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AE6441">
        <w:rPr>
          <w:rFonts w:hint="eastAsia"/>
        </w:rPr>
        <w:tab/>
      </w:r>
      <w:r w:rsidR="00AE6441">
        <w:rPr>
          <w:rFonts w:hint="eastAsia"/>
        </w:rPr>
        <w:t>（改正なし）</w:t>
      </w:r>
    </w:p>
    <w:p w:rsidR="0076578F" w:rsidRDefault="0076578F" w:rsidP="0076578F">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AE6441">
        <w:rPr>
          <w:rFonts w:hint="eastAsia"/>
        </w:rPr>
        <w:tab/>
      </w:r>
      <w:r w:rsidR="00AE6441">
        <w:rPr>
          <w:rFonts w:hint="eastAsia"/>
        </w:rPr>
        <w:t>（改正なし）</w:t>
      </w:r>
    </w:p>
    <w:p w:rsidR="0076578F" w:rsidRDefault="0076578F" w:rsidP="0076578F">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AE6441">
        <w:rPr>
          <w:rFonts w:hint="eastAsia"/>
        </w:rPr>
        <w:tab/>
      </w:r>
      <w:r w:rsidR="00AE6441">
        <w:rPr>
          <w:rFonts w:hint="eastAsia"/>
        </w:rPr>
        <w:t>（改正なし）</w:t>
      </w:r>
    </w:p>
    <w:p w:rsidR="0076578F" w:rsidRDefault="0076578F" w:rsidP="0076578F">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AE6441">
        <w:rPr>
          <w:rFonts w:hint="eastAsia"/>
        </w:rPr>
        <w:tab/>
      </w:r>
      <w:r w:rsidR="00AE6441">
        <w:rPr>
          <w:rFonts w:hint="eastAsia"/>
        </w:rPr>
        <w:t>（改正なし）</w:t>
      </w:r>
    </w:p>
    <w:p w:rsidR="0076578F" w:rsidRDefault="0076578F" w:rsidP="0076578F">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76578F" w:rsidRDefault="0076578F" w:rsidP="0076578F">
      <w:pPr>
        <w:rPr>
          <w:rFonts w:hint="eastAsia"/>
        </w:rPr>
      </w:pPr>
    </w:p>
    <w:p w:rsidR="0076578F" w:rsidRDefault="0076578F" w:rsidP="0076578F">
      <w:pPr>
        <w:rPr>
          <w:rFonts w:hint="eastAsia"/>
        </w:rPr>
      </w:pPr>
      <w:r>
        <w:rPr>
          <w:rFonts w:hint="eastAsia"/>
        </w:rPr>
        <w:t>（改正後）</w:t>
      </w:r>
    </w:p>
    <w:p w:rsidR="00B2667A" w:rsidRPr="0096354A" w:rsidRDefault="00B2667A" w:rsidP="00B2667A">
      <w:pPr>
        <w:ind w:leftChars="85" w:left="178"/>
      </w:pPr>
      <w:r w:rsidRPr="0096354A">
        <w:t>（新設合併消滅株式会社証券取引所が電子公告により株券の提出に関する公告等をする場合について準用する会社法の規定の読替え）</w:t>
      </w:r>
    </w:p>
    <w:p w:rsidR="00B2667A" w:rsidRPr="0096354A" w:rsidRDefault="00B2667A" w:rsidP="00B2667A">
      <w:pPr>
        <w:ind w:left="179" w:hangingChars="85" w:hanging="179"/>
      </w:pPr>
      <w:r w:rsidRPr="0096354A">
        <w:rPr>
          <w:b/>
          <w:bCs/>
        </w:rPr>
        <w:t>第十九条の三の九</w:t>
      </w:r>
      <w:r w:rsidRPr="0096354A">
        <w:t xml:space="preserve">　法第百四十四条第一項において準用する会社法第二百十九条第一項若しくは第二百九十三条第一項又は法第百四十四条第一項において準用する会社法第二百二十条第一項（法第百四十四条第一項において準用する会社法第二百九十三条第四項において準用する場合を含む。）の規定による公告を電子公告によりする場合について、法第百四十四条第二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B2667A" w:rsidTr="00B2667A">
        <w:tblPrEx>
          <w:tblCellMar>
            <w:top w:w="0" w:type="dxa"/>
            <w:bottom w:w="0" w:type="dxa"/>
          </w:tblCellMar>
        </w:tblPrEx>
        <w:trPr>
          <w:trHeight w:val="120"/>
        </w:trPr>
        <w:tc>
          <w:tcPr>
            <w:tcW w:w="2760" w:type="dxa"/>
          </w:tcPr>
          <w:p w:rsidR="00B2667A" w:rsidRPr="0096354A" w:rsidRDefault="00B2667A" w:rsidP="00B2667A">
            <w:r w:rsidRPr="0096354A">
              <w:t>読み替える会社法の規定</w:t>
            </w:r>
          </w:p>
        </w:tc>
        <w:tc>
          <w:tcPr>
            <w:tcW w:w="2760" w:type="dxa"/>
          </w:tcPr>
          <w:p w:rsidR="00B2667A" w:rsidRPr="0096354A" w:rsidRDefault="00B2667A" w:rsidP="00B2667A">
            <w:pPr>
              <w:rPr>
                <w:rFonts w:hint="eastAsia"/>
              </w:rPr>
            </w:pPr>
            <w:r w:rsidRPr="0096354A">
              <w:t>読み替えられる字句</w:t>
            </w:r>
          </w:p>
        </w:tc>
        <w:tc>
          <w:tcPr>
            <w:tcW w:w="2760" w:type="dxa"/>
          </w:tcPr>
          <w:p w:rsidR="00B2667A" w:rsidRPr="0096354A" w:rsidRDefault="00B2667A" w:rsidP="00B2667A">
            <w:pPr>
              <w:rPr>
                <w:rFonts w:hint="eastAsia"/>
              </w:rPr>
            </w:pPr>
            <w:r w:rsidRPr="0096354A">
              <w:t>読み替える字句</w:t>
            </w:r>
          </w:p>
        </w:tc>
      </w:tr>
      <w:tr w:rsidR="00B2667A" w:rsidTr="00B2667A">
        <w:tblPrEx>
          <w:tblCellMar>
            <w:top w:w="0" w:type="dxa"/>
            <w:bottom w:w="0" w:type="dxa"/>
          </w:tblCellMar>
        </w:tblPrEx>
        <w:trPr>
          <w:trHeight w:val="120"/>
        </w:trPr>
        <w:tc>
          <w:tcPr>
            <w:tcW w:w="2760" w:type="dxa"/>
            <w:vMerge w:val="restart"/>
          </w:tcPr>
          <w:p w:rsidR="00B2667A" w:rsidRPr="0096354A" w:rsidRDefault="00B2667A" w:rsidP="00B2667A">
            <w:r w:rsidRPr="0096354A">
              <w:t>第九百四十条第三項（各号を除く。）</w:t>
            </w:r>
          </w:p>
        </w:tc>
        <w:tc>
          <w:tcPr>
            <w:tcW w:w="2760" w:type="dxa"/>
          </w:tcPr>
          <w:p w:rsidR="00B2667A" w:rsidRPr="0096354A" w:rsidRDefault="00B2667A" w:rsidP="00B2667A">
            <w:r w:rsidRPr="0096354A">
              <w:t>前二項</w:t>
            </w:r>
          </w:p>
        </w:tc>
        <w:tc>
          <w:tcPr>
            <w:tcW w:w="2760" w:type="dxa"/>
          </w:tcPr>
          <w:p w:rsidR="00B2667A" w:rsidRPr="0096354A" w:rsidRDefault="00B2667A" w:rsidP="00B2667A">
            <w:r w:rsidRPr="0096354A">
              <w:t>第一項</w:t>
            </w:r>
          </w:p>
        </w:tc>
      </w:tr>
      <w:tr w:rsidR="00B2667A" w:rsidTr="00B2667A">
        <w:tblPrEx>
          <w:tblCellMar>
            <w:top w:w="0" w:type="dxa"/>
            <w:bottom w:w="0" w:type="dxa"/>
          </w:tblCellMar>
        </w:tblPrEx>
        <w:trPr>
          <w:trHeight w:val="120"/>
        </w:trPr>
        <w:tc>
          <w:tcPr>
            <w:tcW w:w="2760" w:type="dxa"/>
            <w:vMerge/>
          </w:tcPr>
          <w:p w:rsidR="00B2667A" w:rsidRPr="0096354A" w:rsidRDefault="00B2667A" w:rsidP="00B2667A"/>
        </w:tc>
        <w:tc>
          <w:tcPr>
            <w:tcW w:w="2760" w:type="dxa"/>
          </w:tcPr>
          <w:p w:rsidR="00B2667A" w:rsidRPr="0096354A" w:rsidRDefault="00B2667A" w:rsidP="00B2667A">
            <w:r w:rsidRPr="0096354A">
              <w:t>これらの</w:t>
            </w:r>
          </w:p>
        </w:tc>
        <w:tc>
          <w:tcPr>
            <w:tcW w:w="2760" w:type="dxa"/>
          </w:tcPr>
          <w:p w:rsidR="00B2667A" w:rsidRPr="0096354A" w:rsidRDefault="00B2667A" w:rsidP="00B2667A">
            <w:r w:rsidRPr="0096354A">
              <w:t>同項の</w:t>
            </w:r>
          </w:p>
        </w:tc>
      </w:tr>
    </w:tbl>
    <w:p w:rsidR="00B2667A" w:rsidRDefault="00B2667A" w:rsidP="00581945">
      <w:pPr>
        <w:rPr>
          <w:rFonts w:hint="eastAsia"/>
        </w:rPr>
      </w:pPr>
    </w:p>
    <w:p w:rsidR="0076578F" w:rsidRDefault="0076578F" w:rsidP="0076578F">
      <w:pPr>
        <w:ind w:left="178" w:hangingChars="85" w:hanging="178"/>
        <w:rPr>
          <w:rFonts w:hint="eastAsia"/>
        </w:rPr>
      </w:pPr>
      <w:r>
        <w:rPr>
          <w:rFonts w:hint="eastAsia"/>
        </w:rPr>
        <w:t>（改正前）</w:t>
      </w:r>
    </w:p>
    <w:p w:rsidR="0076578F" w:rsidRPr="00205E78" w:rsidRDefault="0076578F" w:rsidP="0076578F">
      <w:pPr>
        <w:rPr>
          <w:rFonts w:hint="eastAsia"/>
          <w:u w:val="single" w:color="FF0000"/>
        </w:rPr>
      </w:pPr>
      <w:r w:rsidRPr="00205E78">
        <w:rPr>
          <w:rFonts w:hint="eastAsia"/>
          <w:u w:val="single" w:color="FF0000"/>
        </w:rPr>
        <w:t>（新設）</w:t>
      </w:r>
    </w:p>
    <w:p w:rsidR="006F7A7D" w:rsidRPr="0076578F" w:rsidRDefault="006F7A7D">
      <w:pPr>
        <w:rPr>
          <w:rFonts w:hint="eastAsia"/>
        </w:rPr>
      </w:pPr>
    </w:p>
    <w:sectPr w:rsidR="006F7A7D" w:rsidRPr="0076578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DFE" w:rsidRDefault="00590DFE">
      <w:r>
        <w:separator/>
      </w:r>
    </w:p>
  </w:endnote>
  <w:endnote w:type="continuationSeparator" w:id="0">
    <w:p w:rsidR="00590DFE" w:rsidRDefault="00590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41" w:rsidRDefault="00AE6441" w:rsidP="00B2667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E6441" w:rsidRDefault="00AE6441" w:rsidP="00B2667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41" w:rsidRDefault="00AE6441" w:rsidP="00B2667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E2237">
      <w:rPr>
        <w:rStyle w:val="a4"/>
        <w:noProof/>
      </w:rPr>
      <w:t>1</w:t>
    </w:r>
    <w:r>
      <w:rPr>
        <w:rStyle w:val="a4"/>
      </w:rPr>
      <w:fldChar w:fldCharType="end"/>
    </w:r>
  </w:p>
  <w:p w:rsidR="00AE6441" w:rsidRPr="00581945" w:rsidRDefault="00AE6441" w:rsidP="00B2667A">
    <w:pPr>
      <w:pStyle w:val="a3"/>
      <w:ind w:right="360"/>
    </w:pPr>
    <w:r>
      <w:rPr>
        <w:rFonts w:ascii="Times New Roman" w:hAnsi="Times New Roman" w:hint="eastAsia"/>
        <w:kern w:val="0"/>
        <w:szCs w:val="21"/>
      </w:rPr>
      <w:t xml:space="preserve">金融商品取引法施行令　</w:t>
    </w:r>
    <w:r w:rsidRPr="00AE6441">
      <w:rPr>
        <w:rFonts w:ascii="Times New Roman" w:hAnsi="Times New Roman"/>
        <w:kern w:val="0"/>
        <w:szCs w:val="21"/>
      </w:rPr>
      <w:fldChar w:fldCharType="begin"/>
    </w:r>
    <w:r w:rsidRPr="00AE6441">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13.doc</w:t>
    </w:r>
    <w:r w:rsidRPr="00AE6441">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DFE" w:rsidRDefault="00590DFE">
      <w:r>
        <w:separator/>
      </w:r>
    </w:p>
  </w:footnote>
  <w:footnote w:type="continuationSeparator" w:id="0">
    <w:p w:rsidR="00590DFE" w:rsidRDefault="00590D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78F"/>
    <w:rsid w:val="00120307"/>
    <w:rsid w:val="002C730F"/>
    <w:rsid w:val="00337C95"/>
    <w:rsid w:val="00410B01"/>
    <w:rsid w:val="00581945"/>
    <w:rsid w:val="00590DFE"/>
    <w:rsid w:val="006F7A7D"/>
    <w:rsid w:val="0076578F"/>
    <w:rsid w:val="00915578"/>
    <w:rsid w:val="00AE6441"/>
    <w:rsid w:val="00B2667A"/>
    <w:rsid w:val="00CC3EA6"/>
    <w:rsid w:val="00DE2237"/>
    <w:rsid w:val="00F328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78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6578F"/>
    <w:pPr>
      <w:tabs>
        <w:tab w:val="center" w:pos="4252"/>
        <w:tab w:val="right" w:pos="8504"/>
      </w:tabs>
      <w:snapToGrid w:val="0"/>
    </w:pPr>
  </w:style>
  <w:style w:type="character" w:styleId="a4">
    <w:name w:val="page number"/>
    <w:basedOn w:val="a0"/>
    <w:rsid w:val="0076578F"/>
  </w:style>
  <w:style w:type="paragraph" w:styleId="a5">
    <w:name w:val="header"/>
    <w:basedOn w:val="a"/>
    <w:rsid w:val="0058194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264</Words>
  <Characters>1507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2024-08-20T06:56:00Z</dcterms:created>
  <dcterms:modified xsi:type="dcterms:W3CDTF">2024-08-20T06:56:00Z</dcterms:modified>
</cp:coreProperties>
</file>